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3A6B"/>
          <w:sz w:val="40"/>
        </w:rPr>
        <w:t>AI Agent Policy Template</w:t>
      </w:r>
    </w:p>
    <w:p>
      <w:r>
        <w:rPr>
          <w:i/>
          <w:color w:val="626873"/>
          <w:sz w:val="20"/>
        </w:rPr>
        <w:t>What an AI agent may do for your business, within which limits, and who answers for it. Fill in one copy for each agent before it goes live. Based on Chapters 7 and 10 of Growth Hacking 3.0.</w:t>
      </w:r>
    </w:p>
    <w:p>
      <w:pPr>
        <w:spacing w:after="80"/>
      </w:pPr>
      <w:r>
        <w:rPr>
          <w:b/>
          <w:i w:val="0"/>
          <w:color w:val="626873"/>
          <w:sz w:val="19"/>
        </w:rPr>
        <w:t>How to use this template.</w:t>
      </w:r>
      <w:r>
        <w:rPr>
          <w:b w:val="0"/>
          <w:i w:val="0"/>
          <w:color w:val="626873"/>
          <w:sz w:val="19"/>
        </w:rPr>
        <w:t xml:space="preserve"> Fill in the yellow cells. Some cells are filled in as an example, for an agent that runs email and WhatsApp tests for a skincare brand; replace them with your own. Review the policy every quarter, and whenever the agent is given a new permission.</w:t>
      </w:r>
    </w:p>
    <w:p>
      <w:pPr>
        <w:pStyle w:val="Heading1"/>
        <w:spacing w:before="240" w:after="80"/>
      </w:pPr>
      <w:r>
        <w:rPr>
          <w:rFonts w:ascii="Arial" w:hAnsi="Arial"/>
          <w:color w:val="1B3A6B"/>
        </w:rPr>
        <w:t>1. The agent</w:t>
      </w:r>
    </w:p>
    <w:tbl>
      <w:tblPr>
        <w:tblStyle w:val="TableGrid"/>
        <w:tblW w:type="auto" w:w="0"/>
        <w:jc w:val="center"/>
        <w:tblLayout w:type="fixed"/>
        <w:tblLook w:firstColumn="1" w:firstRow="1" w:lastColumn="0" w:lastRow="0" w:noHBand="0" w:noVBand="1" w:val="04A0"/>
      </w:tblPr>
      <w:tblGrid>
        <w:gridCol w:w="3402"/>
        <w:gridCol w:w="6237"/>
      </w:tblGrid>
      <w:tr>
        <w:tc>
          <w:tcPr>
            <w:tcW w:type="dxa" w:w="3402"/>
            <w:shd w:val="clear" w:color="auto" w:fill="1B3A6B"/>
          </w:tcPr>
          <w:p>
            <w:r/>
            <w:r>
              <w:rPr>
                <w:b/>
                <w:color w:val="FFFFFF"/>
                <w:sz w:val="19"/>
              </w:rPr>
              <w:t>Item</w:t>
            </w:r>
          </w:p>
        </w:tc>
        <w:tc>
          <w:tcPr>
            <w:tcW w:type="dxa" w:w="6236"/>
            <w:shd w:val="clear" w:color="auto" w:fill="1B3A6B"/>
          </w:tcPr>
          <w:p>
            <w:r/>
            <w:r>
              <w:rPr>
                <w:b/>
                <w:color w:val="FFFFFF"/>
                <w:sz w:val="19"/>
              </w:rPr>
              <w:t>Your answer</w:t>
            </w:r>
          </w:p>
        </w:tc>
      </w:tr>
      <w:tr>
        <w:tc>
          <w:tcPr>
            <w:tcW w:type="dxa" w:w="3402"/>
          </w:tcPr>
          <w:p>
            <w:r/>
            <w:r>
              <w:rPr>
                <w:sz w:val="19"/>
              </w:rPr>
              <w:t>Agent name</w:t>
            </w:r>
          </w:p>
        </w:tc>
        <w:tc>
          <w:tcPr>
            <w:tcW w:type="dxa" w:w="6236"/>
            <w:shd w:val="clear" w:color="auto" w:fill="FFF2CC"/>
          </w:tcPr>
          <w:p>
            <w:r/>
            <w:r>
              <w:rPr>
                <w:sz w:val="19"/>
              </w:rPr>
              <w:t>Retention Agent</w:t>
            </w:r>
          </w:p>
        </w:tc>
      </w:tr>
      <w:tr>
        <w:tc>
          <w:tcPr>
            <w:tcW w:type="dxa" w:w="3402"/>
          </w:tcPr>
          <w:p>
            <w:r/>
            <w:r>
              <w:rPr>
                <w:sz w:val="19"/>
              </w:rPr>
              <w:t>What it is for (one sentence)</w:t>
            </w:r>
          </w:p>
        </w:tc>
        <w:tc>
          <w:tcPr>
            <w:tcW w:type="dxa" w:w="6236"/>
            <w:shd w:val="clear" w:color="auto" w:fill="FFF2CC"/>
          </w:tcPr>
          <w:p>
            <w:r/>
            <w:r>
              <w:rPr>
                <w:sz w:val="19"/>
              </w:rPr>
              <w:t>Runs tests on reorder reminders and offers for customers who have opted in to messages</w:t>
            </w:r>
          </w:p>
        </w:tc>
      </w:tr>
      <w:tr>
        <w:tc>
          <w:tcPr>
            <w:tcW w:type="dxa" w:w="3402"/>
          </w:tcPr>
          <w:p>
            <w:r/>
            <w:r>
              <w:rPr>
                <w:sz w:val="19"/>
              </w:rPr>
              <w:t>Business owner (a named person)</w:t>
            </w:r>
          </w:p>
        </w:tc>
        <w:tc>
          <w:tcPr>
            <w:tcW w:type="dxa" w:w="6236"/>
            <w:shd w:val="clear" w:color="auto" w:fill="FFF2CC"/>
          </w:tcPr>
          <w:p>
            <w:r/>
            <w:r>
              <w:rPr>
                <w:sz w:val="19"/>
              </w:rPr>
              <w:t>[Name, role]</w:t>
            </w:r>
          </w:p>
        </w:tc>
      </w:tr>
      <w:tr>
        <w:tc>
          <w:tcPr>
            <w:tcW w:type="dxa" w:w="3402"/>
          </w:tcPr>
          <w:p>
            <w:r/>
            <w:r>
              <w:rPr>
                <w:sz w:val="19"/>
              </w:rPr>
              <w:t>Technical owner</w:t>
            </w:r>
          </w:p>
        </w:tc>
        <w:tc>
          <w:tcPr>
            <w:tcW w:type="dxa" w:w="6236"/>
            <w:shd w:val="clear" w:color="auto" w:fill="FFF2CC"/>
          </w:tcPr>
          <w:p>
            <w:r/>
            <w:r>
              <w:rPr>
                <w:sz w:val="19"/>
              </w:rPr>
              <w:t>[Name, role]</w:t>
            </w:r>
          </w:p>
        </w:tc>
      </w:tr>
      <w:tr>
        <w:tc>
          <w:tcPr>
            <w:tcW w:type="dxa" w:w="3402"/>
          </w:tcPr>
          <w:p>
            <w:r/>
            <w:r>
              <w:rPr>
                <w:sz w:val="19"/>
              </w:rPr>
              <w:t>Tools and systems it can reach</w:t>
            </w:r>
          </w:p>
        </w:tc>
        <w:tc>
          <w:tcPr>
            <w:tcW w:type="dxa" w:w="6236"/>
            <w:shd w:val="clear" w:color="auto" w:fill="FFF2CC"/>
          </w:tcPr>
          <w:p>
            <w:r/>
            <w:r>
              <w:rPr>
                <w:sz w:val="19"/>
              </w:rPr>
              <w:t>[e.g. email platform, WhatsApp Business API, analytics]</w:t>
            </w:r>
          </w:p>
        </w:tc>
      </w:tr>
      <w:tr>
        <w:tc>
          <w:tcPr>
            <w:tcW w:type="dxa" w:w="3402"/>
          </w:tcPr>
          <w:p>
            <w:r/>
            <w:r>
              <w:rPr>
                <w:sz w:val="19"/>
              </w:rPr>
              <w:t>Live from</w:t>
            </w:r>
          </w:p>
        </w:tc>
        <w:tc>
          <w:tcPr>
            <w:tcW w:type="dxa" w:w="6236"/>
            <w:shd w:val="clear" w:color="auto" w:fill="FFF2CC"/>
          </w:tcPr>
          <w:p>
            <w:r/>
            <w:r>
              <w:rPr>
                <w:sz w:val="19"/>
              </w:rPr>
              <w:t>[date]</w:t>
            </w:r>
          </w:p>
        </w:tc>
      </w:tr>
      <w:tr>
        <w:tc>
          <w:tcPr>
            <w:tcW w:type="dxa" w:w="3402"/>
          </w:tcPr>
          <w:p>
            <w:r/>
            <w:r>
              <w:rPr>
                <w:sz w:val="19"/>
              </w:rPr>
              <w:t>Next review</w:t>
            </w:r>
          </w:p>
        </w:tc>
        <w:tc>
          <w:tcPr>
            <w:tcW w:type="dxa" w:w="6236"/>
            <w:shd w:val="clear" w:color="auto" w:fill="FFF2CC"/>
          </w:tcPr>
          <w:p>
            <w:r/>
            <w:r>
              <w:rPr>
                <w:sz w:val="19"/>
              </w:rPr>
              <w:t>[date, at most three months away]</w:t>
            </w:r>
          </w:p>
        </w:tc>
      </w:tr>
    </w:tbl>
    <w:p>
      <w:pPr>
        <w:spacing w:after="40"/>
      </w:pPr>
    </w:p>
    <w:p>
      <w:pPr>
        <w:pStyle w:val="Heading1"/>
        <w:spacing w:before="240" w:after="80"/>
      </w:pPr>
      <w:r>
        <w:rPr>
          <w:rFonts w:ascii="Arial" w:hAnsi="Arial"/>
          <w:color w:val="1B3A6B"/>
        </w:rPr>
        <w:t>2. Goal, input metrics and guardrails</w:t>
      </w:r>
    </w:p>
    <w:p>
      <w:pPr>
        <w:spacing w:after="80"/>
      </w:pPr>
      <w:r>
        <w:rPr>
          <w:b w:val="0"/>
          <w:i w:val="0"/>
        </w:rPr>
        <w:t>Agents push hard on whatever they are told to optimise, so every goal needs guardrails: numbers that must not get worse (Chapter 7).</w:t>
      </w:r>
    </w:p>
    <w:tbl>
      <w:tblPr>
        <w:tblStyle w:val="TableGrid"/>
        <w:tblW w:type="auto" w:w="0"/>
        <w:jc w:val="center"/>
        <w:tblLayout w:type="fixed"/>
        <w:tblLook w:firstColumn="1" w:firstRow="1" w:lastColumn="0" w:lastRow="0" w:noHBand="0" w:noVBand="1" w:val="04A0"/>
      </w:tblPr>
      <w:tblGrid>
        <w:gridCol w:w="1984"/>
        <w:gridCol w:w="3969"/>
        <w:gridCol w:w="3685"/>
      </w:tblGrid>
      <w:tr>
        <w:tc>
          <w:tcPr>
            <w:tcW w:type="dxa" w:w="1984"/>
            <w:shd w:val="clear" w:color="auto" w:fill="1B3A6B"/>
          </w:tcPr>
          <w:p>
            <w:r/>
            <w:r>
              <w:rPr>
                <w:b/>
                <w:color w:val="FFFFFF"/>
                <w:sz w:val="19"/>
              </w:rPr>
              <w:t>Type</w:t>
            </w:r>
          </w:p>
        </w:tc>
        <w:tc>
          <w:tcPr>
            <w:tcW w:type="dxa" w:w="3969"/>
            <w:shd w:val="clear" w:color="auto" w:fill="1B3A6B"/>
          </w:tcPr>
          <w:p>
            <w:r/>
            <w:r>
              <w:rPr>
                <w:b/>
                <w:color w:val="FFFFFF"/>
                <w:sz w:val="19"/>
              </w:rPr>
              <w:t>Metric</w:t>
            </w:r>
          </w:p>
        </w:tc>
        <w:tc>
          <w:tcPr>
            <w:tcW w:type="dxa" w:w="3685"/>
            <w:shd w:val="clear" w:color="auto" w:fill="1B3A6B"/>
          </w:tcPr>
          <w:p>
            <w:r/>
            <w:r>
              <w:rPr>
                <w:b/>
                <w:color w:val="FFFFFF"/>
                <w:sz w:val="19"/>
              </w:rPr>
              <w:t>Limit or target</w:t>
            </w:r>
          </w:p>
        </w:tc>
      </w:tr>
      <w:tr>
        <w:tc>
          <w:tcPr>
            <w:tcW w:type="dxa" w:w="1984"/>
          </w:tcPr>
          <w:p>
            <w:r/>
            <w:r>
              <w:rPr>
                <w:sz w:val="19"/>
              </w:rPr>
              <w:t>North Star</w:t>
            </w:r>
          </w:p>
        </w:tc>
        <w:tc>
          <w:tcPr>
            <w:tcW w:type="dxa" w:w="3969"/>
            <w:shd w:val="clear" w:color="auto" w:fill="FFF2CC"/>
          </w:tcPr>
          <w:p>
            <w:r/>
            <w:r>
              <w:rPr>
                <w:sz w:val="19"/>
              </w:rPr>
              <w:t>Customers who reorder within 60 days</w:t>
            </w:r>
          </w:p>
        </w:tc>
        <w:tc>
          <w:tcPr>
            <w:tcW w:type="dxa" w:w="3685"/>
            <w:shd w:val="clear" w:color="auto" w:fill="FFF2CC"/>
          </w:tcPr>
          <w:p>
            <w:r/>
            <w:r>
              <w:rPr>
                <w:sz w:val="19"/>
              </w:rPr>
              <w:t>Raise from 38% to 42% this quarter</w:t>
            </w:r>
          </w:p>
        </w:tc>
      </w:tr>
      <w:tr>
        <w:tc>
          <w:tcPr>
            <w:tcW w:type="dxa" w:w="1984"/>
          </w:tcPr>
          <w:p>
            <w:r/>
            <w:r>
              <w:rPr>
                <w:sz w:val="19"/>
              </w:rPr>
              <w:t>Input metric</w:t>
            </w:r>
          </w:p>
        </w:tc>
        <w:tc>
          <w:tcPr>
            <w:tcW w:type="dxa" w:w="3969"/>
            <w:shd w:val="clear" w:color="auto" w:fill="FFF2CC"/>
          </w:tcPr>
          <w:p>
            <w:r/>
            <w:r>
              <w:rPr>
                <w:sz w:val="19"/>
              </w:rPr>
              <w:t>[ ]</w:t>
            </w:r>
          </w:p>
        </w:tc>
        <w:tc>
          <w:tcPr>
            <w:tcW w:type="dxa" w:w="3685"/>
            <w:shd w:val="clear" w:color="auto" w:fill="FFF2CC"/>
          </w:tcPr>
          <w:p>
            <w:r/>
            <w:r>
              <w:rPr>
                <w:sz w:val="19"/>
              </w:rPr>
              <w:t>[ ]</w:t>
            </w:r>
          </w:p>
        </w:tc>
      </w:tr>
      <w:tr>
        <w:tc>
          <w:tcPr>
            <w:tcW w:type="dxa" w:w="1984"/>
          </w:tcPr>
          <w:p>
            <w:r/>
            <w:r>
              <w:rPr>
                <w:sz w:val="19"/>
              </w:rPr>
              <w:t>Guardrail</w:t>
            </w:r>
          </w:p>
        </w:tc>
        <w:tc>
          <w:tcPr>
            <w:tcW w:type="dxa" w:w="3969"/>
            <w:shd w:val="clear" w:color="auto" w:fill="FFF2CC"/>
          </w:tcPr>
          <w:p>
            <w:r/>
            <w:r>
              <w:rPr>
                <w:sz w:val="19"/>
              </w:rPr>
              <w:t>Unsubscribes per 1,000 messages</w:t>
            </w:r>
          </w:p>
        </w:tc>
        <w:tc>
          <w:tcPr>
            <w:tcW w:type="dxa" w:w="3685"/>
            <w:shd w:val="clear" w:color="auto" w:fill="FFF2CC"/>
          </w:tcPr>
          <w:p>
            <w:r/>
            <w:r>
              <w:rPr>
                <w:sz w:val="19"/>
              </w:rPr>
              <w:t>Pause if above 5</w:t>
            </w:r>
          </w:p>
        </w:tc>
      </w:tr>
      <w:tr>
        <w:tc>
          <w:tcPr>
            <w:tcW w:type="dxa" w:w="1984"/>
          </w:tcPr>
          <w:p>
            <w:r/>
            <w:r>
              <w:rPr>
                <w:sz w:val="19"/>
              </w:rPr>
              <w:t>Guardrail</w:t>
            </w:r>
          </w:p>
        </w:tc>
        <w:tc>
          <w:tcPr>
            <w:tcW w:type="dxa" w:w="3969"/>
            <w:shd w:val="clear" w:color="auto" w:fill="FFF2CC"/>
          </w:tcPr>
          <w:p>
            <w:r/>
            <w:r>
              <w:rPr>
                <w:sz w:val="19"/>
              </w:rPr>
              <w:t>Complaints</w:t>
            </w:r>
          </w:p>
        </w:tc>
        <w:tc>
          <w:tcPr>
            <w:tcW w:type="dxa" w:w="3685"/>
            <w:shd w:val="clear" w:color="auto" w:fill="FFF2CC"/>
          </w:tcPr>
          <w:p>
            <w:r/>
            <w:r>
              <w:rPr>
                <w:sz w:val="19"/>
              </w:rPr>
              <w:t>Pause if above 3 in a week</w:t>
            </w:r>
          </w:p>
        </w:tc>
      </w:tr>
      <w:tr>
        <w:tc>
          <w:tcPr>
            <w:tcW w:type="dxa" w:w="1984"/>
          </w:tcPr>
          <w:p>
            <w:r/>
            <w:r>
              <w:rPr>
                <w:sz w:val="19"/>
              </w:rPr>
              <w:t>Guardrail</w:t>
            </w:r>
          </w:p>
        </w:tc>
        <w:tc>
          <w:tcPr>
            <w:tcW w:type="dxa" w:w="3969"/>
            <w:shd w:val="clear" w:color="auto" w:fill="FFF2CC"/>
          </w:tcPr>
          <w:p>
            <w:r/>
            <w:r>
              <w:rPr>
                <w:sz w:val="19"/>
              </w:rPr>
              <w:t>[ ]</w:t>
            </w:r>
          </w:p>
        </w:tc>
        <w:tc>
          <w:tcPr>
            <w:tcW w:type="dxa" w:w="3685"/>
            <w:shd w:val="clear" w:color="auto" w:fill="FFF2CC"/>
          </w:tcPr>
          <w:p>
            <w:r/>
            <w:r>
              <w:rPr>
                <w:sz w:val="19"/>
              </w:rPr>
              <w:t>[ ]</w:t>
            </w:r>
          </w:p>
        </w:tc>
      </w:tr>
    </w:tbl>
    <w:p>
      <w:pPr>
        <w:spacing w:after="40"/>
      </w:pPr>
    </w:p>
    <w:p>
      <w:pPr>
        <w:pStyle w:val="Heading1"/>
        <w:spacing w:before="240" w:after="80"/>
      </w:pPr>
      <w:r>
        <w:rPr>
          <w:rFonts w:ascii="Arial" w:hAnsi="Arial"/>
          <w:color w:val="1B3A6B"/>
        </w:rPr>
        <w:t>3. What the agent may do</w:t>
      </w:r>
    </w:p>
    <w:p>
      <w:pPr>
        <w:spacing w:after="80"/>
      </w:pPr>
      <w:r>
        <w:rPr>
          <w:b w:val="0"/>
          <w:i w:val="0"/>
        </w:rPr>
        <w:t>Separate reading from acting. Give read access widely and permission to act narrowly (Chapter 10). Tick one column for each action.</w:t>
      </w:r>
    </w:p>
    <w:tbl>
      <w:tblPr>
        <w:tblStyle w:val="TableGrid"/>
        <w:tblW w:type="auto" w:w="0"/>
        <w:jc w:val="center"/>
        <w:tblLayout w:type="fixed"/>
        <w:tblLook w:firstColumn="1" w:firstRow="1" w:lastColumn="0" w:lastRow="0" w:noHBand="0" w:noVBand="1" w:val="04A0"/>
      </w:tblPr>
      <w:tblGrid>
        <w:gridCol w:w="3515"/>
        <w:gridCol w:w="1474"/>
        <w:gridCol w:w="1474"/>
        <w:gridCol w:w="1587"/>
        <w:gridCol w:w="1587"/>
      </w:tblGrid>
      <w:tr>
        <w:tc>
          <w:tcPr>
            <w:tcW w:type="dxa" w:w="3515"/>
            <w:shd w:val="clear" w:color="auto" w:fill="1B3A6B"/>
          </w:tcPr>
          <w:p>
            <w:r/>
            <w:r>
              <w:rPr>
                <w:b/>
                <w:color w:val="FFFFFF"/>
                <w:sz w:val="19"/>
              </w:rPr>
              <w:t>Action</w:t>
            </w:r>
          </w:p>
        </w:tc>
        <w:tc>
          <w:tcPr>
            <w:tcW w:type="dxa" w:w="1474"/>
            <w:shd w:val="clear" w:color="auto" w:fill="1B3A6B"/>
          </w:tcPr>
          <w:p>
            <w:r/>
            <w:r>
              <w:rPr>
                <w:b/>
                <w:color w:val="FFFFFF"/>
                <w:sz w:val="19"/>
              </w:rPr>
              <w:t>Not allowed</w:t>
            </w:r>
          </w:p>
        </w:tc>
        <w:tc>
          <w:tcPr>
            <w:tcW w:type="dxa" w:w="1474"/>
            <w:shd w:val="clear" w:color="auto" w:fill="1B3A6B"/>
          </w:tcPr>
          <w:p>
            <w:r/>
            <w:r>
              <w:rPr>
                <w:b/>
                <w:color w:val="FFFFFF"/>
                <w:sz w:val="19"/>
              </w:rPr>
              <w:t>Read only</w:t>
            </w:r>
          </w:p>
        </w:tc>
        <w:tc>
          <w:tcPr>
            <w:tcW w:type="dxa" w:w="1587"/>
            <w:shd w:val="clear" w:color="auto" w:fill="1B3A6B"/>
          </w:tcPr>
          <w:p>
            <w:r/>
            <w:r>
              <w:rPr>
                <w:b/>
                <w:color w:val="FFFFFF"/>
                <w:sz w:val="19"/>
              </w:rPr>
              <w:t>Draft for approval</w:t>
            </w:r>
          </w:p>
        </w:tc>
        <w:tc>
          <w:tcPr>
            <w:tcW w:type="dxa" w:w="1587"/>
            <w:shd w:val="clear" w:color="auto" w:fill="1B3A6B"/>
          </w:tcPr>
          <w:p>
            <w:r/>
            <w:r>
              <w:rPr>
                <w:b/>
                <w:color w:val="FFFFFF"/>
                <w:sz w:val="19"/>
              </w:rPr>
              <w:t>Act within limits</w:t>
            </w:r>
          </w:p>
        </w:tc>
      </w:tr>
      <w:tr>
        <w:tc>
          <w:tcPr>
            <w:tcW w:type="dxa" w:w="3515"/>
          </w:tcPr>
          <w:p>
            <w:r/>
            <w:r>
              <w:rPr>
                <w:sz w:val="19"/>
              </w:rPr>
              <w:t>Read sales and analytics data</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t>✓</w:t>
            </w:r>
          </w:p>
        </w:tc>
      </w:tr>
      <w:tr>
        <w:tc>
          <w:tcPr>
            <w:tcW w:type="dxa" w:w="3515"/>
          </w:tcPr>
          <w:p>
            <w:r/>
            <w:r>
              <w:rPr>
                <w:sz w:val="19"/>
              </w:rPr>
              <w:t>Write message or ad copy</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t>✓</w:t>
            </w:r>
          </w:p>
        </w:tc>
        <w:tc>
          <w:tcPr>
            <w:tcW w:type="dxa" w:w="1587"/>
            <w:shd w:val="clear" w:color="auto" w:fill="FFF2CC"/>
          </w:tcPr>
          <w:p>
            <w:r/>
            <w:r>
              <w:rPr>
                <w:sz w:val="19"/>
              </w:rPr>
            </w:r>
          </w:p>
        </w:tc>
      </w:tr>
      <w:tr>
        <w:tc>
          <w:tcPr>
            <w:tcW w:type="dxa" w:w="3515"/>
          </w:tcPr>
          <w:p>
            <w:r/>
            <w:r>
              <w:rPr>
                <w:sz w:val="19"/>
              </w:rPr>
              <w:t>Launch an A/B test</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t>✓</w:t>
            </w:r>
          </w:p>
        </w:tc>
      </w:tr>
      <w:tr>
        <w:tc>
          <w:tcPr>
            <w:tcW w:type="dxa" w:w="3515"/>
          </w:tcPr>
          <w:p>
            <w:r/>
            <w:r>
              <w:rPr>
                <w:sz w:val="19"/>
              </w:rPr>
              <w:t>Change advertising budget</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Change prices or give discounts</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Send messages to customers</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Issue refunds or credits</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Use personal data for targeting</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Act on other websites or with other companies' agents</w:t>
            </w:r>
          </w:p>
        </w:tc>
        <w:tc>
          <w:tcPr>
            <w:tcW w:type="dxa" w:w="1474"/>
            <w:shd w:val="clear" w:color="auto" w:fill="FFF2CC"/>
          </w:tcPr>
          <w:p>
            <w:r/>
            <w:r>
              <w:rPr>
                <w:sz w:val="19"/>
              </w:rPr>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r>
        <w:tc>
          <w:tcPr>
            <w:tcW w:type="dxa" w:w="3515"/>
          </w:tcPr>
          <w:p>
            <w:r/>
            <w:r>
              <w:rPr>
                <w:sz w:val="19"/>
              </w:rPr>
              <w:t>Change its own rules or permissions</w:t>
            </w:r>
          </w:p>
        </w:tc>
        <w:tc>
          <w:tcPr>
            <w:tcW w:type="dxa" w:w="1474"/>
            <w:shd w:val="clear" w:color="auto" w:fill="FFF2CC"/>
          </w:tcPr>
          <w:p>
            <w:r/>
            <w:r>
              <w:rPr>
                <w:sz w:val="19"/>
              </w:rPr>
              <w:t>✓</w:t>
            </w:r>
          </w:p>
        </w:tc>
        <w:tc>
          <w:tcPr>
            <w:tcW w:type="dxa" w:w="1474"/>
            <w:shd w:val="clear" w:color="auto" w:fill="FFF2CC"/>
          </w:tcPr>
          <w:p>
            <w:r/>
            <w:r>
              <w:rPr>
                <w:sz w:val="19"/>
              </w:rPr>
            </w:r>
          </w:p>
        </w:tc>
        <w:tc>
          <w:tcPr>
            <w:tcW w:type="dxa" w:w="1587"/>
            <w:shd w:val="clear" w:color="auto" w:fill="FFF2CC"/>
          </w:tcPr>
          <w:p>
            <w:r/>
            <w:r>
              <w:rPr>
                <w:sz w:val="19"/>
              </w:rPr>
            </w:r>
          </w:p>
        </w:tc>
        <w:tc>
          <w:tcPr>
            <w:tcW w:type="dxa" w:w="1587"/>
            <w:shd w:val="clear" w:color="auto" w:fill="FFF2CC"/>
          </w:tcPr>
          <w:p>
            <w:r/>
            <w:r>
              <w:rPr>
                <w:sz w:val="19"/>
              </w:rPr>
            </w:r>
          </w:p>
        </w:tc>
      </w:tr>
    </w:tbl>
    <w:p>
      <w:pPr>
        <w:spacing w:after="40"/>
      </w:pPr>
    </w:p>
    <w:p>
      <w:pPr>
        <w:spacing w:after="80"/>
      </w:pPr>
      <w:r>
        <w:rPr>
          <w:b w:val="0"/>
          <w:i/>
          <w:color w:val="626873"/>
          <w:sz w:val="19"/>
        </w:rPr>
        <w:t>Prices, credit offers and anything touching health, children or finances should always need a person's approval (Chapter 7).</w:t>
      </w:r>
    </w:p>
    <w:p>
      <w:pPr>
        <w:pStyle w:val="Heading1"/>
        <w:spacing w:before="240" w:after="80"/>
      </w:pPr>
      <w:r>
        <w:rPr>
          <w:rFonts w:ascii="Arial" w:hAnsi="Arial"/>
          <w:color w:val="1B3A6B"/>
        </w:rPr>
        <w:t>4. Limits</w:t>
      </w:r>
    </w:p>
    <w:tbl>
      <w:tblPr>
        <w:tblStyle w:val="TableGrid"/>
        <w:tblW w:type="auto" w:w="0"/>
        <w:jc w:val="center"/>
        <w:tblLayout w:type="fixed"/>
        <w:tblLook w:firstColumn="1" w:firstRow="1" w:lastColumn="0" w:lastRow="0" w:noHBand="0" w:noVBand="1" w:val="04A0"/>
      </w:tblPr>
      <w:tblGrid>
        <w:gridCol w:w="3969"/>
        <w:gridCol w:w="5670"/>
      </w:tblGrid>
      <w:tr>
        <w:tc>
          <w:tcPr>
            <w:tcW w:type="dxa" w:w="3969"/>
            <w:shd w:val="clear" w:color="auto" w:fill="1B3A6B"/>
          </w:tcPr>
          <w:p>
            <w:r/>
            <w:r>
              <w:rPr>
                <w:b/>
                <w:color w:val="FFFFFF"/>
                <w:sz w:val="19"/>
              </w:rPr>
              <w:t>Limit</w:t>
            </w:r>
          </w:p>
        </w:tc>
        <w:tc>
          <w:tcPr>
            <w:tcW w:type="dxa" w:w="5669"/>
            <w:shd w:val="clear" w:color="auto" w:fill="1B3A6B"/>
          </w:tcPr>
          <w:p>
            <w:r/>
            <w:r>
              <w:rPr>
                <w:b/>
                <w:color w:val="FFFFFF"/>
                <w:sz w:val="19"/>
              </w:rPr>
              <w:t>Your setting</w:t>
            </w:r>
          </w:p>
        </w:tc>
      </w:tr>
      <w:tr>
        <w:tc>
          <w:tcPr>
            <w:tcW w:type="dxa" w:w="3969"/>
          </w:tcPr>
          <w:p>
            <w:r/>
            <w:r>
              <w:rPr>
                <w:sz w:val="19"/>
              </w:rPr>
              <w:t>Maximum spend per day / per month</w:t>
            </w:r>
          </w:p>
        </w:tc>
        <w:tc>
          <w:tcPr>
            <w:tcW w:type="dxa" w:w="5669"/>
            <w:shd w:val="clear" w:color="auto" w:fill="FFF2CC"/>
          </w:tcPr>
          <w:p>
            <w:r/>
            <w:r>
              <w:rPr>
                <w:sz w:val="19"/>
              </w:rPr>
              <w:t>₹5,000 a day; ₹1,00,000 a month</w:t>
            </w:r>
          </w:p>
        </w:tc>
      </w:tr>
      <w:tr>
        <w:tc>
          <w:tcPr>
            <w:tcW w:type="dxa" w:w="3969"/>
          </w:tcPr>
          <w:p>
            <w:r/>
            <w:r>
              <w:rPr>
                <w:sz w:val="19"/>
              </w:rPr>
              <w:t>Largest price or discount change it may test</w:t>
            </w:r>
          </w:p>
        </w:tc>
        <w:tc>
          <w:tcPr>
            <w:tcW w:type="dxa" w:w="5669"/>
            <w:shd w:val="clear" w:color="auto" w:fill="FFF2CC"/>
          </w:tcPr>
          <w:p>
            <w:r/>
            <w:r>
              <w:rPr>
                <w:sz w:val="19"/>
              </w:rPr>
              <w:t>[ ]</w:t>
            </w:r>
          </w:p>
        </w:tc>
      </w:tr>
      <w:tr>
        <w:tc>
          <w:tcPr>
            <w:tcW w:type="dxa" w:w="3969"/>
          </w:tcPr>
          <w:p>
            <w:r/>
            <w:r>
              <w:rPr>
                <w:sz w:val="19"/>
              </w:rPr>
              <w:t>Maximum messages to one customer per week</w:t>
            </w:r>
          </w:p>
        </w:tc>
        <w:tc>
          <w:tcPr>
            <w:tcW w:type="dxa" w:w="5669"/>
            <w:shd w:val="clear" w:color="auto" w:fill="FFF2CC"/>
          </w:tcPr>
          <w:p>
            <w:r/>
            <w:r>
              <w:rPr>
                <w:sz w:val="19"/>
              </w:rPr>
              <w:t>[ ]</w:t>
            </w:r>
          </w:p>
        </w:tc>
      </w:tr>
      <w:tr>
        <w:tc>
          <w:tcPr>
            <w:tcW w:type="dxa" w:w="3969"/>
          </w:tcPr>
          <w:p>
            <w:r/>
            <w:r>
              <w:rPr>
                <w:sz w:val="19"/>
              </w:rPr>
              <w:t>Customers it must never target</w:t>
            </w:r>
          </w:p>
        </w:tc>
        <w:tc>
          <w:tcPr>
            <w:tcW w:type="dxa" w:w="5669"/>
            <w:shd w:val="clear" w:color="auto" w:fill="FFF2CC"/>
          </w:tcPr>
          <w:p>
            <w:r/>
            <w:r>
              <w:rPr>
                <w:sz w:val="19"/>
              </w:rPr>
              <w:t>[e.g. anyone who has not opted in; anyone under 18]</w:t>
            </w:r>
          </w:p>
        </w:tc>
      </w:tr>
      <w:tr>
        <w:tc>
          <w:tcPr>
            <w:tcW w:type="dxa" w:w="3969"/>
          </w:tcPr>
          <w:p>
            <w:r/>
            <w:r>
              <w:rPr>
                <w:sz w:val="19"/>
              </w:rPr>
              <w:t>Topics or claims it must never use</w:t>
            </w:r>
          </w:p>
        </w:tc>
        <w:tc>
          <w:tcPr>
            <w:tcW w:type="dxa" w:w="5669"/>
            <w:shd w:val="clear" w:color="auto" w:fill="FFF2CC"/>
          </w:tcPr>
          <w:p>
            <w:r/>
            <w:r>
              <w:rPr>
                <w:sz w:val="19"/>
              </w:rPr>
              <w:t>[e.g. medical claims; false urgency; comparisons with named competitors]</w:t>
            </w:r>
          </w:p>
        </w:tc>
      </w:tr>
      <w:tr>
        <w:tc>
          <w:tcPr>
            <w:tcW w:type="dxa" w:w="3969"/>
          </w:tcPr>
          <w:p>
            <w:r/>
            <w:r>
              <w:rPr>
                <w:sz w:val="19"/>
              </w:rPr>
              <w:t>Hours it may send messages</w:t>
            </w:r>
          </w:p>
        </w:tc>
        <w:tc>
          <w:tcPr>
            <w:tcW w:type="dxa" w:w="5669"/>
            <w:shd w:val="clear" w:color="auto" w:fill="FFF2CC"/>
          </w:tcPr>
          <w:p>
            <w:r/>
            <w:r>
              <w:rPr>
                <w:sz w:val="19"/>
              </w:rPr>
              <w:t>[e.g. 9 am to 8 pm, customer's local time]</w:t>
            </w:r>
          </w:p>
        </w:tc>
      </w:tr>
    </w:tbl>
    <w:p>
      <w:pPr>
        <w:spacing w:after="40"/>
      </w:pPr>
    </w:p>
    <w:p>
      <w:pPr>
        <w:pStyle w:val="Heading1"/>
        <w:spacing w:before="240" w:after="80"/>
      </w:pPr>
      <w:r>
        <w:rPr>
          <w:rFonts w:ascii="Arial" w:hAnsi="Arial"/>
          <w:color w:val="1B3A6B"/>
        </w:rPr>
        <w:t>5. Approvals</w:t>
      </w:r>
    </w:p>
    <w:tbl>
      <w:tblPr>
        <w:tblStyle w:val="TableGrid"/>
        <w:tblW w:type="auto" w:w="0"/>
        <w:jc w:val="center"/>
        <w:tblLayout w:type="fixed"/>
        <w:tblLook w:firstColumn="1" w:firstRow="1" w:lastColumn="0" w:lastRow="0" w:noHBand="0" w:noVBand="1" w:val="04A0"/>
      </w:tblPr>
      <w:tblGrid>
        <w:gridCol w:w="3969"/>
        <w:gridCol w:w="2835"/>
        <w:gridCol w:w="2835"/>
      </w:tblGrid>
      <w:tr>
        <w:tc>
          <w:tcPr>
            <w:tcW w:type="dxa" w:w="3969"/>
            <w:shd w:val="clear" w:color="auto" w:fill="1B3A6B"/>
          </w:tcPr>
          <w:p>
            <w:r/>
            <w:r>
              <w:rPr>
                <w:b/>
                <w:color w:val="FFFFFF"/>
                <w:sz w:val="19"/>
              </w:rPr>
              <w:t>What needs approval</w:t>
            </w:r>
          </w:p>
        </w:tc>
        <w:tc>
          <w:tcPr>
            <w:tcW w:type="dxa" w:w="2835"/>
            <w:shd w:val="clear" w:color="auto" w:fill="1B3A6B"/>
          </w:tcPr>
          <w:p>
            <w:r/>
            <w:r>
              <w:rPr>
                <w:b/>
                <w:color w:val="FFFFFF"/>
                <w:sz w:val="19"/>
              </w:rPr>
              <w:t>Who approves</w:t>
            </w:r>
          </w:p>
        </w:tc>
        <w:tc>
          <w:tcPr>
            <w:tcW w:type="dxa" w:w="2835"/>
            <w:shd w:val="clear" w:color="auto" w:fill="1B3A6B"/>
          </w:tcPr>
          <w:p>
            <w:r/>
            <w:r>
              <w:rPr>
                <w:b/>
                <w:color w:val="FFFFFF"/>
                <w:sz w:val="19"/>
              </w:rPr>
              <w:t>How fast</w:t>
            </w:r>
          </w:p>
        </w:tc>
      </w:tr>
      <w:tr>
        <w:tc>
          <w:tcPr>
            <w:tcW w:type="dxa" w:w="3969"/>
            <w:shd w:val="clear" w:color="auto" w:fill="FFF2CC"/>
          </w:tcPr>
          <w:p>
            <w:r/>
            <w:r>
              <w:rPr>
                <w:i/>
                <w:color w:val="626873"/>
                <w:sz w:val="19"/>
              </w:rPr>
              <w:t>A new message template</w:t>
            </w:r>
          </w:p>
        </w:tc>
        <w:tc>
          <w:tcPr>
            <w:tcW w:type="dxa" w:w="2835"/>
            <w:shd w:val="clear" w:color="auto" w:fill="FFF2CC"/>
          </w:tcPr>
          <w:p>
            <w:r/>
            <w:r>
              <w:rPr>
                <w:i/>
                <w:color w:val="626873"/>
                <w:sz w:val="19"/>
              </w:rPr>
              <w:t>Brand manager</w:t>
            </w:r>
          </w:p>
        </w:tc>
        <w:tc>
          <w:tcPr>
            <w:tcW w:type="dxa" w:w="2835"/>
            <w:shd w:val="clear" w:color="auto" w:fill="FFF2CC"/>
          </w:tcPr>
          <w:p>
            <w:r/>
            <w:r>
              <w:rPr>
                <w:i/>
                <w:color w:val="626873"/>
                <w:sz w:val="19"/>
              </w:rPr>
              <w:t>Within one working day</w:t>
            </w:r>
          </w:p>
        </w:tc>
      </w:tr>
      <w:tr>
        <w:tc>
          <w:tcPr>
            <w:tcW w:type="dxa" w:w="3969"/>
            <w:shd w:val="clear" w:color="auto" w:fill="FFF2CC"/>
          </w:tcPr>
          <w:p>
            <w:r/>
            <w:r>
              <w:rPr>
                <w:sz w:val="19"/>
              </w:rPr>
              <w:t>[ ]</w:t>
            </w:r>
          </w:p>
        </w:tc>
        <w:tc>
          <w:tcPr>
            <w:tcW w:type="dxa" w:w="2835"/>
            <w:shd w:val="clear" w:color="auto" w:fill="FFF2CC"/>
          </w:tcPr>
          <w:p>
            <w:r/>
            <w:r>
              <w:rPr>
                <w:sz w:val="19"/>
              </w:rPr>
              <w:t>[ ]</w:t>
            </w:r>
          </w:p>
        </w:tc>
        <w:tc>
          <w:tcPr>
            <w:tcW w:type="dxa" w:w="2835"/>
            <w:shd w:val="clear" w:color="auto" w:fill="FFF2CC"/>
          </w:tcPr>
          <w:p>
            <w:r/>
            <w:r>
              <w:rPr>
                <w:sz w:val="19"/>
              </w:rPr>
              <w:t>[ ]</w:t>
            </w:r>
          </w:p>
        </w:tc>
      </w:tr>
      <w:tr>
        <w:tc>
          <w:tcPr>
            <w:tcW w:type="dxa" w:w="3969"/>
            <w:shd w:val="clear" w:color="auto" w:fill="FFF2CC"/>
          </w:tcPr>
          <w:p>
            <w:r/>
            <w:r>
              <w:rPr>
                <w:sz w:val="19"/>
              </w:rPr>
              <w:t>[ ]</w:t>
            </w:r>
          </w:p>
        </w:tc>
        <w:tc>
          <w:tcPr>
            <w:tcW w:type="dxa" w:w="2835"/>
            <w:shd w:val="clear" w:color="auto" w:fill="FFF2CC"/>
          </w:tcPr>
          <w:p>
            <w:r/>
            <w:r>
              <w:rPr>
                <w:sz w:val="19"/>
              </w:rPr>
              <w:t>[ ]</w:t>
            </w:r>
          </w:p>
        </w:tc>
        <w:tc>
          <w:tcPr>
            <w:tcW w:type="dxa" w:w="2835"/>
            <w:shd w:val="clear" w:color="auto" w:fill="FFF2CC"/>
          </w:tcPr>
          <w:p>
            <w:r/>
            <w:r>
              <w:rPr>
                <w:sz w:val="19"/>
              </w:rPr>
              <w:t>[ ]</w:t>
            </w:r>
          </w:p>
        </w:tc>
      </w:tr>
    </w:tbl>
    <w:p>
      <w:pPr>
        <w:spacing w:after="40"/>
      </w:pPr>
    </w:p>
    <w:p>
      <w:pPr>
        <w:pStyle w:val="Heading1"/>
        <w:spacing w:before="240" w:after="80"/>
      </w:pPr>
      <w:r>
        <w:rPr>
          <w:rFonts w:ascii="Arial" w:hAnsi="Arial"/>
          <w:color w:val="1B3A6B"/>
        </w:rPr>
        <w:t>6. Identity and honesty</w:t>
      </w:r>
    </w:p>
    <w:p>
      <w:pPr>
        <w:pStyle w:val="ListBullet"/>
        <w:spacing w:after="40"/>
      </w:pPr>
      <w:r>
        <w:rPr>
          <w:b w:val="0"/>
          <w:i w:val="0"/>
        </w:rPr>
        <w:t>The agent says what it is and whom it represents, to customers and to other businesses. Yes / No</w:t>
      </w:r>
    </w:p>
    <w:p>
      <w:pPr>
        <w:pStyle w:val="ListBullet"/>
        <w:spacing w:after="40"/>
      </w:pPr>
      <w:r>
        <w:rPr>
          <w:b w:val="0"/>
          <w:i w:val="0"/>
        </w:rPr>
        <w:t>Customers are told when they are talking to an AI. Yes / No</w:t>
      </w:r>
    </w:p>
    <w:p>
      <w:pPr>
        <w:pStyle w:val="ListBullet"/>
        <w:spacing w:after="40"/>
      </w:pPr>
      <w:r>
        <w:rPr>
          <w:b w:val="0"/>
          <w:i w:val="0"/>
        </w:rPr>
        <w:t>The agent never pretends to be a named person. Yes / No</w:t>
      </w:r>
    </w:p>
    <w:p>
      <w:pPr>
        <w:pStyle w:val="Heading1"/>
        <w:spacing w:before="240" w:after="80"/>
      </w:pPr>
      <w:r>
        <w:rPr>
          <w:rFonts w:ascii="Arial" w:hAnsi="Arial"/>
          <w:color w:val="1B3A6B"/>
        </w:rPr>
        <w:t>7. Consent and data</w:t>
      </w:r>
    </w:p>
    <w:p>
      <w:pPr>
        <w:spacing w:after="80"/>
      </w:pPr>
      <w:r>
        <w:rPr>
          <w:b w:val="0"/>
          <w:i w:val="0"/>
        </w:rPr>
        <w:t>Before the agent uses any customer data, run the four-question consent check (Consent Matters checklist):</w:t>
      </w:r>
    </w:p>
    <w:p>
      <w:pPr>
        <w:pStyle w:val="ListBullet"/>
        <w:spacing w:after="40"/>
      </w:pPr>
      <w:r>
        <w:rPr>
          <w:b/>
          <w:i w:val="0"/>
        </w:rPr>
        <w:t>Free:</w:t>
      </w:r>
      <w:r>
        <w:rPr>
          <w:b w:val="0"/>
          <w:i w:val="0"/>
        </w:rPr>
        <w:t xml:space="preserve"> could the customer say no and still be served normally?</w:t>
      </w:r>
    </w:p>
    <w:p>
      <w:pPr>
        <w:pStyle w:val="ListBullet"/>
        <w:spacing w:after="40"/>
      </w:pPr>
      <w:r>
        <w:rPr>
          <w:b/>
          <w:i w:val="0"/>
        </w:rPr>
        <w:t>Specific:</w:t>
      </w:r>
      <w:r>
        <w:rPr>
          <w:b w:val="0"/>
          <w:i w:val="0"/>
        </w:rPr>
        <w:t xml:space="preserve"> did they agree to this use, not just to "marketing"?</w:t>
      </w:r>
    </w:p>
    <w:p>
      <w:pPr>
        <w:pStyle w:val="ListBullet"/>
        <w:spacing w:after="40"/>
      </w:pPr>
      <w:r>
        <w:rPr>
          <w:b/>
          <w:i w:val="0"/>
        </w:rPr>
        <w:t>Informed:</w:t>
      </w:r>
      <w:r>
        <w:rPr>
          <w:b w:val="0"/>
          <w:i w:val="0"/>
        </w:rPr>
        <w:t xml:space="preserve"> were they told, in plain words, what is collected and for how long?</w:t>
      </w:r>
    </w:p>
    <w:p>
      <w:pPr>
        <w:pStyle w:val="ListBullet"/>
        <w:spacing w:after="40"/>
      </w:pPr>
      <w:r>
        <w:rPr>
          <w:b/>
          <w:i w:val="0"/>
        </w:rPr>
        <w:t>Easy to withdraw:</w:t>
      </w:r>
      <w:r>
        <w:rPr>
          <w:b w:val="0"/>
          <w:i w:val="0"/>
        </w:rPr>
        <w:t xml:space="preserve"> can they stop it as easily as they started it?</w:t>
      </w:r>
    </w:p>
    <w:tbl>
      <w:tblPr>
        <w:tblStyle w:val="TableGrid"/>
        <w:tblW w:type="auto" w:w="0"/>
        <w:jc w:val="center"/>
        <w:tblLayout w:type="fixed"/>
        <w:tblLook w:firstColumn="1" w:firstRow="1" w:lastColumn="0" w:lastRow="0" w:noHBand="0" w:noVBand="1" w:val="04A0"/>
      </w:tblPr>
      <w:tblGrid>
        <w:gridCol w:w="3969"/>
        <w:gridCol w:w="5670"/>
      </w:tblGrid>
      <w:tr>
        <w:tc>
          <w:tcPr>
            <w:tcW w:type="dxa" w:w="3969"/>
            <w:shd w:val="clear" w:color="auto" w:fill="1B3A6B"/>
          </w:tcPr>
          <w:p>
            <w:r/>
            <w:r>
              <w:rPr>
                <w:b/>
                <w:color w:val="FFFFFF"/>
                <w:sz w:val="19"/>
              </w:rPr>
              <w:t>Item</w:t>
            </w:r>
          </w:p>
        </w:tc>
        <w:tc>
          <w:tcPr>
            <w:tcW w:type="dxa" w:w="5669"/>
            <w:shd w:val="clear" w:color="auto" w:fill="1B3A6B"/>
          </w:tcPr>
          <w:p>
            <w:r/>
            <w:r>
              <w:rPr>
                <w:b/>
                <w:color w:val="FFFFFF"/>
                <w:sz w:val="19"/>
              </w:rPr>
              <w:t>Your answer</w:t>
            </w:r>
          </w:p>
        </w:tc>
      </w:tr>
      <w:tr>
        <w:tc>
          <w:tcPr>
            <w:tcW w:type="dxa" w:w="3969"/>
          </w:tcPr>
          <w:p>
            <w:r/>
            <w:r>
              <w:rPr>
                <w:sz w:val="19"/>
              </w:rPr>
              <w:t>Data the agent may use</w:t>
            </w:r>
          </w:p>
        </w:tc>
        <w:tc>
          <w:tcPr>
            <w:tcW w:type="dxa" w:w="5669"/>
            <w:shd w:val="clear" w:color="auto" w:fill="FFF2CC"/>
          </w:tcPr>
          <w:p>
            <w:r/>
            <w:r>
              <w:rPr>
                <w:sz w:val="19"/>
              </w:rPr>
              <w:t>[ ]</w:t>
            </w:r>
          </w:p>
        </w:tc>
      </w:tr>
      <w:tr>
        <w:tc>
          <w:tcPr>
            <w:tcW w:type="dxa" w:w="3969"/>
          </w:tcPr>
          <w:p>
            <w:r/>
            <w:r>
              <w:rPr>
                <w:sz w:val="19"/>
              </w:rPr>
              <w:t>Data it must never use</w:t>
            </w:r>
          </w:p>
        </w:tc>
        <w:tc>
          <w:tcPr>
            <w:tcW w:type="dxa" w:w="5669"/>
            <w:shd w:val="clear" w:color="auto" w:fill="FFF2CC"/>
          </w:tcPr>
          <w:p>
            <w:r/>
            <w:r>
              <w:rPr>
                <w:sz w:val="19"/>
              </w:rPr>
              <w:t>[ ]</w:t>
            </w:r>
          </w:p>
        </w:tc>
      </w:tr>
      <w:tr>
        <w:tc>
          <w:tcPr>
            <w:tcW w:type="dxa" w:w="3969"/>
          </w:tcPr>
          <w:p>
            <w:r/>
            <w:r>
              <w:rPr>
                <w:sz w:val="19"/>
              </w:rPr>
              <w:t>How long its records are kept</w:t>
            </w:r>
          </w:p>
        </w:tc>
        <w:tc>
          <w:tcPr>
            <w:tcW w:type="dxa" w:w="5669"/>
            <w:shd w:val="clear" w:color="auto" w:fill="FFF2CC"/>
          </w:tcPr>
          <w:p>
            <w:r/>
            <w:r>
              <w:rPr>
                <w:sz w:val="19"/>
              </w:rPr>
              <w:t>[ ]</w:t>
            </w:r>
          </w:p>
        </w:tc>
      </w:tr>
      <w:tr>
        <w:tc>
          <w:tcPr>
            <w:tcW w:type="dxa" w:w="3969"/>
          </w:tcPr>
          <w:p>
            <w:r/>
            <w:r>
              <w:rPr>
                <w:sz w:val="19"/>
              </w:rPr>
              <w:t>Where withdrawals of consent are honoured, and how fast</w:t>
            </w:r>
          </w:p>
        </w:tc>
        <w:tc>
          <w:tcPr>
            <w:tcW w:type="dxa" w:w="5669"/>
            <w:shd w:val="clear" w:color="auto" w:fill="FFF2CC"/>
          </w:tcPr>
          <w:p>
            <w:r/>
            <w:r>
              <w:rPr>
                <w:sz w:val="19"/>
              </w:rPr>
              <w:t>[ ]</w:t>
            </w:r>
          </w:p>
        </w:tc>
      </w:tr>
    </w:tbl>
    <w:p>
      <w:pPr>
        <w:spacing w:after="40"/>
      </w:pPr>
    </w:p>
    <w:p>
      <w:pPr>
        <w:pStyle w:val="Heading1"/>
        <w:spacing w:before="240" w:after="80"/>
      </w:pPr>
      <w:r>
        <w:rPr>
          <w:rFonts w:ascii="Arial" w:hAnsi="Arial"/>
          <w:color w:val="1B3A6B"/>
        </w:rPr>
        <w:t>8. A human within reach</w:t>
      </w:r>
    </w:p>
    <w:tbl>
      <w:tblPr>
        <w:tblStyle w:val="TableGrid"/>
        <w:tblW w:type="auto" w:w="0"/>
        <w:jc w:val="center"/>
        <w:tblLayout w:type="fixed"/>
        <w:tblLook w:firstColumn="1" w:firstRow="1" w:lastColumn="0" w:lastRow="0" w:noHBand="0" w:noVBand="1" w:val="04A0"/>
      </w:tblPr>
      <w:tblGrid>
        <w:gridCol w:w="3969"/>
        <w:gridCol w:w="5670"/>
      </w:tblGrid>
      <w:tr>
        <w:tc>
          <w:tcPr>
            <w:tcW w:type="dxa" w:w="3969"/>
            <w:shd w:val="clear" w:color="auto" w:fill="1B3A6B"/>
          </w:tcPr>
          <w:p>
            <w:r/>
            <w:r>
              <w:rPr>
                <w:b/>
                <w:color w:val="FFFFFF"/>
                <w:sz w:val="19"/>
              </w:rPr>
              <w:t>Item</w:t>
            </w:r>
          </w:p>
        </w:tc>
        <w:tc>
          <w:tcPr>
            <w:tcW w:type="dxa" w:w="5669"/>
            <w:shd w:val="clear" w:color="auto" w:fill="1B3A6B"/>
          </w:tcPr>
          <w:p>
            <w:r/>
            <w:r>
              <w:rPr>
                <w:b/>
                <w:color w:val="FFFFFF"/>
                <w:sz w:val="19"/>
              </w:rPr>
              <w:t>Your answer</w:t>
            </w:r>
          </w:p>
        </w:tc>
      </w:tr>
      <w:tr>
        <w:tc>
          <w:tcPr>
            <w:tcW w:type="dxa" w:w="3969"/>
          </w:tcPr>
          <w:p>
            <w:r/>
            <w:r>
              <w:rPr>
                <w:sz w:val="19"/>
              </w:rPr>
              <w:t>How a customer reaches a person</w:t>
            </w:r>
          </w:p>
        </w:tc>
        <w:tc>
          <w:tcPr>
            <w:tcW w:type="dxa" w:w="5669"/>
            <w:shd w:val="clear" w:color="auto" w:fill="FFF2CC"/>
          </w:tcPr>
          <w:p>
            <w:r/>
            <w:r>
              <w:rPr>
                <w:sz w:val="19"/>
              </w:rPr>
              <w:t>[e.g. reply HUMAN, or call the number in every message]</w:t>
            </w:r>
          </w:p>
        </w:tc>
      </w:tr>
      <w:tr>
        <w:tc>
          <w:tcPr>
            <w:tcW w:type="dxa" w:w="3969"/>
          </w:tcPr>
          <w:p>
            <w:r/>
            <w:r>
              <w:rPr>
                <w:sz w:val="19"/>
              </w:rPr>
              <w:t>Who answers, and how fast</w:t>
            </w:r>
          </w:p>
        </w:tc>
        <w:tc>
          <w:tcPr>
            <w:tcW w:type="dxa" w:w="5669"/>
            <w:shd w:val="clear" w:color="auto" w:fill="FFF2CC"/>
          </w:tcPr>
          <w:p>
            <w:r/>
            <w:r>
              <w:rPr>
                <w:sz w:val="19"/>
              </w:rPr>
              <w:t>[ ]</w:t>
            </w:r>
          </w:p>
        </w:tc>
      </w:tr>
      <w:tr>
        <w:tc>
          <w:tcPr>
            <w:tcW w:type="dxa" w:w="3969"/>
          </w:tcPr>
          <w:p>
            <w:r/>
            <w:r>
              <w:rPr>
                <w:sz w:val="19"/>
              </w:rPr>
              <w:t>When the agent must hand over by itself</w:t>
            </w:r>
          </w:p>
        </w:tc>
        <w:tc>
          <w:tcPr>
            <w:tcW w:type="dxa" w:w="5669"/>
            <w:shd w:val="clear" w:color="auto" w:fill="FFF2CC"/>
          </w:tcPr>
          <w:p>
            <w:r/>
            <w:r>
              <w:rPr>
                <w:sz w:val="19"/>
              </w:rPr>
              <w:t>[e.g. a complaint, a refund request, any mention of health]</w:t>
            </w:r>
          </w:p>
        </w:tc>
      </w:tr>
    </w:tbl>
    <w:p>
      <w:pPr>
        <w:spacing w:after="40"/>
      </w:pPr>
    </w:p>
    <w:p>
      <w:pPr>
        <w:pStyle w:val="Heading1"/>
        <w:spacing w:before="240" w:after="80"/>
      </w:pPr>
      <w:r>
        <w:rPr>
          <w:rFonts w:ascii="Arial" w:hAnsi="Arial"/>
          <w:color w:val="1B3A6B"/>
        </w:rPr>
        <w:t>9. Logs and review</w:t>
      </w:r>
    </w:p>
    <w:p>
      <w:pPr>
        <w:pStyle w:val="ListBullet"/>
        <w:spacing w:after="40"/>
      </w:pPr>
      <w:r>
        <w:rPr>
          <w:b w:val="0"/>
          <w:i w:val="0"/>
        </w:rPr>
        <w:t>Every action is logged with its reason and result, so it can be explained and reversed.</w:t>
      </w:r>
    </w:p>
    <w:p>
      <w:pPr>
        <w:pStyle w:val="ListBullet"/>
        <w:spacing w:after="40"/>
      </w:pPr>
      <w:r>
        <w:rPr>
          <w:b w:val="0"/>
          <w:i w:val="0"/>
        </w:rPr>
        <w:t>Logs are kept in: [ ] for [ ] months.</w:t>
      </w:r>
    </w:p>
    <w:p>
      <w:pPr>
        <w:pStyle w:val="ListBullet"/>
        <w:spacing w:after="40"/>
      </w:pPr>
      <w:r>
        <w:rPr>
          <w:b w:val="0"/>
          <w:i w:val="0"/>
        </w:rPr>
        <w:t>A named person reviews what the agent has done and learned every [week], and asks whether it still makes sense.</w:t>
      </w:r>
    </w:p>
    <w:p>
      <w:pPr>
        <w:pStyle w:val="Heading1"/>
        <w:spacing w:before="240" w:after="80"/>
      </w:pPr>
      <w:r>
        <w:rPr>
          <w:rFonts w:ascii="Arial" w:hAnsi="Arial"/>
          <w:color w:val="1B3A6B"/>
        </w:rPr>
        <w:t>10. Stop rules</w:t>
      </w:r>
    </w:p>
    <w:tbl>
      <w:tblPr>
        <w:tblStyle w:val="TableGrid"/>
        <w:tblW w:type="auto" w:w="0"/>
        <w:jc w:val="center"/>
        <w:tblLayout w:type="fixed"/>
        <w:tblLook w:firstColumn="1" w:firstRow="1" w:lastColumn="0" w:lastRow="0" w:noHBand="0" w:noVBand="1" w:val="04A0"/>
      </w:tblPr>
      <w:tblGrid>
        <w:gridCol w:w="3969"/>
        <w:gridCol w:w="5670"/>
      </w:tblGrid>
      <w:tr>
        <w:tc>
          <w:tcPr>
            <w:tcW w:type="dxa" w:w="3969"/>
            <w:shd w:val="clear" w:color="auto" w:fill="1B3A6B"/>
          </w:tcPr>
          <w:p>
            <w:r/>
            <w:r>
              <w:rPr>
                <w:b/>
                <w:color w:val="FFFFFF"/>
                <w:sz w:val="19"/>
              </w:rPr>
              <w:t>Item</w:t>
            </w:r>
          </w:p>
        </w:tc>
        <w:tc>
          <w:tcPr>
            <w:tcW w:type="dxa" w:w="5669"/>
            <w:shd w:val="clear" w:color="auto" w:fill="1B3A6B"/>
          </w:tcPr>
          <w:p>
            <w:r/>
            <w:r>
              <w:rPr>
                <w:b/>
                <w:color w:val="FFFFFF"/>
                <w:sz w:val="19"/>
              </w:rPr>
              <w:t>Your answer</w:t>
            </w:r>
          </w:p>
        </w:tc>
      </w:tr>
      <w:tr>
        <w:tc>
          <w:tcPr>
            <w:tcW w:type="dxa" w:w="3969"/>
          </w:tcPr>
          <w:p>
            <w:r/>
            <w:r>
              <w:rPr>
                <w:sz w:val="19"/>
              </w:rPr>
              <w:t>Who can pause the agent at once</w:t>
            </w:r>
          </w:p>
        </w:tc>
        <w:tc>
          <w:tcPr>
            <w:tcW w:type="dxa" w:w="5669"/>
            <w:shd w:val="clear" w:color="auto" w:fill="FFF2CC"/>
          </w:tcPr>
          <w:p>
            <w:r/>
            <w:r>
              <w:rPr>
                <w:sz w:val="19"/>
              </w:rPr>
              <w:t>[Names]</w:t>
            </w:r>
          </w:p>
        </w:tc>
      </w:tr>
      <w:tr>
        <w:tc>
          <w:tcPr>
            <w:tcW w:type="dxa" w:w="3969"/>
          </w:tcPr>
          <w:p>
            <w:r/>
            <w:r>
              <w:rPr>
                <w:sz w:val="19"/>
              </w:rPr>
              <w:t>How to pause it</w:t>
            </w:r>
          </w:p>
        </w:tc>
        <w:tc>
          <w:tcPr>
            <w:tcW w:type="dxa" w:w="5669"/>
            <w:shd w:val="clear" w:color="auto" w:fill="FFF2CC"/>
          </w:tcPr>
          <w:p>
            <w:r/>
            <w:r>
              <w:rPr>
                <w:sz w:val="19"/>
              </w:rPr>
              <w:t>[e.g. switch in the dashboard; revoke the API key]</w:t>
            </w:r>
          </w:p>
        </w:tc>
      </w:tr>
      <w:tr>
        <w:tc>
          <w:tcPr>
            <w:tcW w:type="dxa" w:w="3969"/>
          </w:tcPr>
          <w:p>
            <w:r/>
            <w:r>
              <w:rPr>
                <w:sz w:val="19"/>
              </w:rPr>
              <w:t>It pauses itself when</w:t>
            </w:r>
          </w:p>
        </w:tc>
        <w:tc>
          <w:tcPr>
            <w:tcW w:type="dxa" w:w="5669"/>
            <w:shd w:val="clear" w:color="auto" w:fill="FFF2CC"/>
          </w:tcPr>
          <w:p>
            <w:r/>
            <w:r>
              <w:rPr>
                <w:sz w:val="19"/>
              </w:rPr>
              <w:t>Any guardrail in section 2 passes its limit</w:t>
            </w:r>
          </w:p>
        </w:tc>
      </w:tr>
      <w:tr>
        <w:tc>
          <w:tcPr>
            <w:tcW w:type="dxa" w:w="3969"/>
          </w:tcPr>
          <w:p>
            <w:r/>
            <w:r>
              <w:rPr>
                <w:sz w:val="19"/>
              </w:rPr>
              <w:t>After a pause, who decides to restart</w:t>
            </w:r>
          </w:p>
        </w:tc>
        <w:tc>
          <w:tcPr>
            <w:tcW w:type="dxa" w:w="5669"/>
            <w:shd w:val="clear" w:color="auto" w:fill="FFF2CC"/>
          </w:tcPr>
          <w:p>
            <w:r/>
            <w:r>
              <w:rPr>
                <w:sz w:val="19"/>
              </w:rPr>
              <w:t>[ ]</w:t>
            </w:r>
          </w:p>
        </w:tc>
      </w:tr>
    </w:tbl>
    <w:p>
      <w:pPr>
        <w:spacing w:after="40"/>
      </w:pPr>
    </w:p>
    <w:p>
      <w:pPr>
        <w:pStyle w:val="Heading1"/>
        <w:spacing w:before="240" w:after="80"/>
      </w:pPr>
      <w:r>
        <w:rPr>
          <w:rFonts w:ascii="Arial" w:hAnsi="Arial"/>
          <w:color w:val="1B3A6B"/>
        </w:rPr>
        <w:t>11. Sign-off</w:t>
      </w:r>
    </w:p>
    <w:tbl>
      <w:tblPr>
        <w:tblStyle w:val="TableGrid"/>
        <w:tblW w:type="auto" w:w="0"/>
        <w:jc w:val="center"/>
        <w:tblLayout w:type="fixed"/>
        <w:tblLook w:firstColumn="1" w:firstRow="1" w:lastColumn="0" w:lastRow="0" w:noHBand="0" w:noVBand="1" w:val="04A0"/>
      </w:tblPr>
      <w:tblGrid>
        <w:gridCol w:w="2551"/>
        <w:gridCol w:w="2551"/>
        <w:gridCol w:w="2551"/>
        <w:gridCol w:w="1984"/>
      </w:tblGrid>
      <w:tr>
        <w:tc>
          <w:tcPr>
            <w:tcW w:type="dxa" w:w="2551"/>
            <w:shd w:val="clear" w:color="auto" w:fill="1B3A6B"/>
          </w:tcPr>
          <w:p>
            <w:r/>
            <w:r>
              <w:rPr>
                <w:b/>
                <w:color w:val="FFFFFF"/>
                <w:sz w:val="19"/>
              </w:rPr>
              <w:t>Role</w:t>
            </w:r>
          </w:p>
        </w:tc>
        <w:tc>
          <w:tcPr>
            <w:tcW w:type="dxa" w:w="2551"/>
            <w:shd w:val="clear" w:color="auto" w:fill="1B3A6B"/>
          </w:tcPr>
          <w:p>
            <w:r/>
            <w:r>
              <w:rPr>
                <w:b/>
                <w:color w:val="FFFFFF"/>
                <w:sz w:val="19"/>
              </w:rPr>
              <w:t>Name</w:t>
            </w:r>
          </w:p>
        </w:tc>
        <w:tc>
          <w:tcPr>
            <w:tcW w:type="dxa" w:w="2551"/>
            <w:shd w:val="clear" w:color="auto" w:fill="1B3A6B"/>
          </w:tcPr>
          <w:p>
            <w:r/>
            <w:r>
              <w:rPr>
                <w:b/>
                <w:color w:val="FFFFFF"/>
                <w:sz w:val="19"/>
              </w:rPr>
              <w:t>Signature</w:t>
            </w:r>
          </w:p>
        </w:tc>
        <w:tc>
          <w:tcPr>
            <w:tcW w:type="dxa" w:w="1984"/>
            <w:shd w:val="clear" w:color="auto" w:fill="1B3A6B"/>
          </w:tcPr>
          <w:p>
            <w:r/>
            <w:r>
              <w:rPr>
                <w:b/>
                <w:color w:val="FFFFFF"/>
                <w:sz w:val="19"/>
              </w:rPr>
              <w:t>Date</w:t>
            </w:r>
          </w:p>
        </w:tc>
      </w:tr>
      <w:tr>
        <w:tc>
          <w:tcPr>
            <w:tcW w:type="dxa" w:w="2551"/>
          </w:tcPr>
          <w:p>
            <w:r/>
            <w:r>
              <w:rPr>
                <w:sz w:val="19"/>
              </w:rPr>
              <w:t>Business owner</w:t>
            </w:r>
          </w:p>
        </w:tc>
        <w:tc>
          <w:tcPr>
            <w:tcW w:type="dxa" w:w="2551"/>
            <w:shd w:val="clear" w:color="auto" w:fill="FFF2CC"/>
          </w:tcPr>
          <w:p>
            <w:r/>
            <w:r>
              <w:rPr>
                <w:sz w:val="19"/>
              </w:rPr>
            </w:r>
          </w:p>
        </w:tc>
        <w:tc>
          <w:tcPr>
            <w:tcW w:type="dxa" w:w="2551"/>
            <w:shd w:val="clear" w:color="auto" w:fill="FFF2CC"/>
          </w:tcPr>
          <w:p>
            <w:r/>
            <w:r>
              <w:rPr>
                <w:sz w:val="19"/>
              </w:rPr>
            </w:r>
          </w:p>
        </w:tc>
        <w:tc>
          <w:tcPr>
            <w:tcW w:type="dxa" w:w="1984"/>
            <w:shd w:val="clear" w:color="auto" w:fill="FFF2CC"/>
          </w:tcPr>
          <w:p>
            <w:r/>
            <w:r>
              <w:rPr>
                <w:sz w:val="19"/>
              </w:rPr>
            </w:r>
          </w:p>
        </w:tc>
      </w:tr>
      <w:tr>
        <w:tc>
          <w:tcPr>
            <w:tcW w:type="dxa" w:w="2551"/>
          </w:tcPr>
          <w:p>
            <w:r/>
            <w:r>
              <w:rPr>
                <w:sz w:val="19"/>
              </w:rPr>
              <w:t>Technical owner</w:t>
            </w:r>
          </w:p>
        </w:tc>
        <w:tc>
          <w:tcPr>
            <w:tcW w:type="dxa" w:w="2551"/>
            <w:shd w:val="clear" w:color="auto" w:fill="FFF2CC"/>
          </w:tcPr>
          <w:p>
            <w:r/>
            <w:r>
              <w:rPr>
                <w:sz w:val="19"/>
              </w:rPr>
            </w:r>
          </w:p>
        </w:tc>
        <w:tc>
          <w:tcPr>
            <w:tcW w:type="dxa" w:w="2551"/>
            <w:shd w:val="clear" w:color="auto" w:fill="FFF2CC"/>
          </w:tcPr>
          <w:p>
            <w:r/>
            <w:r>
              <w:rPr>
                <w:sz w:val="19"/>
              </w:rPr>
            </w:r>
          </w:p>
        </w:tc>
        <w:tc>
          <w:tcPr>
            <w:tcW w:type="dxa" w:w="1984"/>
            <w:shd w:val="clear" w:color="auto" w:fill="FFF2CC"/>
          </w:tcPr>
          <w:p>
            <w:r/>
            <w:r>
              <w:rPr>
                <w:sz w:val="19"/>
              </w:rPr>
            </w:r>
          </w:p>
        </w:tc>
      </w:tr>
      <w:tr>
        <w:tc>
          <w:tcPr>
            <w:tcW w:type="dxa" w:w="2551"/>
          </w:tcPr>
          <w:p>
            <w:r/>
            <w:r>
              <w:rPr>
                <w:sz w:val="19"/>
              </w:rPr>
              <w:t>Data protection or legal</w:t>
            </w:r>
          </w:p>
        </w:tc>
        <w:tc>
          <w:tcPr>
            <w:tcW w:type="dxa" w:w="2551"/>
            <w:shd w:val="clear" w:color="auto" w:fill="FFF2CC"/>
          </w:tcPr>
          <w:p>
            <w:r/>
            <w:r>
              <w:rPr>
                <w:sz w:val="19"/>
              </w:rPr>
            </w:r>
          </w:p>
        </w:tc>
        <w:tc>
          <w:tcPr>
            <w:tcW w:type="dxa" w:w="2551"/>
            <w:shd w:val="clear" w:color="auto" w:fill="FFF2CC"/>
          </w:tcPr>
          <w:p>
            <w:r/>
            <w:r>
              <w:rPr>
                <w:sz w:val="19"/>
              </w:rPr>
            </w:r>
          </w:p>
        </w:tc>
        <w:tc>
          <w:tcPr>
            <w:tcW w:type="dxa" w:w="1984"/>
            <w:shd w:val="clear" w:color="auto" w:fill="FFF2CC"/>
          </w:tcPr>
          <w:p>
            <w:r/>
            <w:r>
              <w:rPr>
                <w:sz w:val="19"/>
              </w:rPr>
            </w:r>
          </w:p>
        </w:tc>
      </w:tr>
    </w:tbl>
    <w:p>
      <w:pPr>
        <w:spacing w:after="40"/>
      </w:pPr>
    </w:p>
    <w:p>
      <w:pPr>
        <w:spacing w:after="80"/>
      </w:pPr>
      <w:r>
        <w:rPr>
          <w:b w:val="0"/>
          <w:i/>
          <w:color w:val="626873"/>
          <w:sz w:val="18"/>
        </w:rPr>
        <w:t>This template is practical guidance, not legal advice. Check data and consumer rules that apply to your business, including India's DPDP Act, 2023 and its Rules, before an agent goes live.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i/>
        <w:color w:val="626873"/>
        <w:sz w:val="16"/>
      </w:rPr>
      <w:t>From Growth Hacking 3.0 by Vivek Gujar, PhD and Ashwani K S Rathore  ·  www.brandpipers.com/growthhackingbook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B3A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B3A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